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267" w14:textId="77777777" w:rsidR="0074696E" w:rsidRPr="004C6EEE" w:rsidRDefault="00EA3010" w:rsidP="00AD784C">
      <w:pPr>
        <w:pStyle w:val="Spacerparatopoffirstpage"/>
      </w:pP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3A8128D2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hyperlink r:id="rId18" w:history="1">
        <w:r w:rsidRPr="00947C11">
          <w:rPr>
            <w:rStyle w:val="Hyperlink"/>
            <w:i/>
            <w:iCs/>
            <w:sz w:val="18"/>
            <w:szCs w:val="18"/>
          </w:rPr>
          <w:t>here</w:t>
        </w:r>
      </w:hyperlink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9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20"/>
      <w:footerReference w:type="default" r:id="rId21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CC8F" w14:textId="77777777" w:rsidR="0079510A" w:rsidRDefault="0079510A">
      <w:r>
        <w:separator/>
      </w:r>
    </w:p>
  </w:endnote>
  <w:endnote w:type="continuationSeparator" w:id="0">
    <w:p w14:paraId="019863FD" w14:textId="77777777" w:rsidR="0079510A" w:rsidRDefault="0079510A">
      <w:r>
        <w:continuationSeparator/>
      </w:r>
    </w:p>
  </w:endnote>
  <w:endnote w:type="continuationNotice" w:id="1">
    <w:p w14:paraId="1D4A59FF" w14:textId="77777777" w:rsidR="0079510A" w:rsidRDefault="00795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0EDE" w14:textId="77777777" w:rsidR="00947C11" w:rsidRDefault="00947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1C95" w14:textId="41E0AF93" w:rsidR="009D70A4" w:rsidRPr="00F65AA9" w:rsidRDefault="001D0301" w:rsidP="0051568D">
    <w:pPr>
      <w:pStyle w:val="DHHS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3" behindDoc="0" locked="0" layoutInCell="0" allowOverlap="1" wp14:anchorId="63BC6A59" wp14:editId="43F157B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8ee941c2bf18a3aeed94f822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90FDFC" w14:textId="16032AB0" w:rsidR="001D0301" w:rsidRPr="001D0301" w:rsidRDefault="001D0301" w:rsidP="001D0301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D030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C6A59" id="_x0000_t202" coordsize="21600,21600" o:spt="202" path="m,l,21600r21600,l21600,xe">
              <v:stroke joinstyle="miter"/>
              <v:path gradientshapeok="t" o:connecttype="rect"/>
            </v:shapetype>
            <v:shape id="MSIPCM8ee941c2bf18a3aeed94f822" o:spid="_x0000_s1028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CVr29fFwMAADYGAAAOAAAAAAAAAAAAAAAA&#10;AC4CAABkcnMvZTJvRG9jLnhtbFBLAQItABQABgAIAAAAIQCDso8r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5A90FDFC" w14:textId="16032AB0" w:rsidR="001D0301" w:rsidRPr="001D0301" w:rsidRDefault="001D0301" w:rsidP="001D0301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D0301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val="en-US"/>
      </w:rPr>
      <w:drawing>
        <wp:anchor distT="0" distB="0" distL="114300" distR="114300" simplePos="0" relativeHeight="251656192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9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KBW4lsZAwAAPw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75F" w14:textId="1495947F" w:rsidR="009D70A4" w:rsidRPr="00A11421" w:rsidRDefault="001D030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0" allowOverlap="1" wp14:anchorId="496E7BCB" wp14:editId="2C7852F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f77f4f8bbd703116f6d3602c" descr="{&quot;HashCode&quot;:136874154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C0804" w14:textId="18F9B205" w:rsidR="001D0301" w:rsidRPr="001D0301" w:rsidRDefault="001D0301" w:rsidP="001D0301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D030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E7BCB" id="_x0000_t202" coordsize="21600,21600" o:spt="202" path="m,l,21600r21600,l21600,xe">
              <v:stroke joinstyle="miter"/>
              <v:path gradientshapeok="t" o:connecttype="rect"/>
            </v:shapetype>
            <v:shape id="MSIPCMf77f4f8bbd703116f6d3602c" o:spid="_x0000_s1030" type="#_x0000_t202" alt="{&quot;HashCode&quot;:1368741547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23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dUi/MGgMAAD0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645C0804" w14:textId="18F9B205" w:rsidR="001D0301" w:rsidRPr="001D0301" w:rsidRDefault="001D0301" w:rsidP="001D0301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D0301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12CB"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 w:rsidR="00DE12CB"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502A" w14:textId="77777777" w:rsidR="0079510A" w:rsidRDefault="0079510A" w:rsidP="002862F1">
      <w:pPr>
        <w:spacing w:before="120"/>
      </w:pPr>
      <w:r>
        <w:separator/>
      </w:r>
    </w:p>
  </w:footnote>
  <w:footnote w:type="continuationSeparator" w:id="0">
    <w:p w14:paraId="7981A21A" w14:textId="77777777" w:rsidR="0079510A" w:rsidRDefault="0079510A">
      <w:r>
        <w:continuationSeparator/>
      </w:r>
    </w:p>
  </w:footnote>
  <w:footnote w:type="continuationNotice" w:id="1">
    <w:p w14:paraId="6B9AB5C5" w14:textId="77777777" w:rsidR="0079510A" w:rsidRDefault="00795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1AF6" w14:textId="77777777" w:rsidR="00947C11" w:rsidRDefault="00947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C0DF" w14:textId="77777777" w:rsidR="00947C11" w:rsidRDefault="00947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F4E4" w14:textId="77777777" w:rsidR="00947C11" w:rsidRDefault="00947C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301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47C11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business.vic.gov.au/__data/assets/word_doc/0011/1920728/COVID-Safe-Plan-guidance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hhs.vic.gov.au/preventing-infection-workplace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32992-3877-4537-AD5A-87DD9C5C22ED}">
  <ds:schemaRefs>
    <ds:schemaRef ds:uri="http://purl.org/dc/elements/1.1/"/>
    <ds:schemaRef ds:uri="http://schemas.microsoft.com/office/2006/metadata/properties"/>
    <ds:schemaRef ds:uri="ac8de15f-3115-42af-aacc-691ee84cf5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b89d87-4073-4f1c-85f3-5c65bdf24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44182-C4F8-412F-A390-1099C2E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4499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Stacey Miller (DHHS)</cp:lastModifiedBy>
  <cp:revision>2</cp:revision>
  <cp:lastPrinted>2017-07-08T10:32:00Z</cp:lastPrinted>
  <dcterms:created xsi:type="dcterms:W3CDTF">2020-08-05T08:28:00Z</dcterms:created>
  <dcterms:modified xsi:type="dcterms:W3CDTF">2020-08-05T08:28:00Z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SetDate">
    <vt:lpwstr>2020-07-10T06:48:29.2037630Z</vt:lpwstr>
  </property>
  <property fmtid="{D5CDD505-2E9C-101B-9397-08002B2CF9AE}" pid="7" name="MSIP_Label_f6c7d016-c0e8-4bc1-9071-158a5ecbe94b_Name">
    <vt:lpwstr>OFFICIAL - Sensitive</vt:lpwstr>
  </property>
  <property fmtid="{D5CDD505-2E9C-101B-9397-08002B2CF9AE}" pid="8" name="MSIP_Label_f6c7d016-c0e8-4bc1-9071-158a5ecbe94b_ActionId">
    <vt:lpwstr>360e53bb-4faa-4668-9b5b-b1b0086e4173</vt:lpwstr>
  </property>
  <property fmtid="{D5CDD505-2E9C-101B-9397-08002B2CF9AE}" pid="9" name="MSIP_Label_f6c7d016-c0e8-4bc1-9071-158a5ecbe94b_Extended_MSFT_Method">
    <vt:lpwstr>Manual</vt:lpwstr>
  </property>
  <property fmtid="{D5CDD505-2E9C-101B-9397-08002B2CF9AE}" pid="10" name="Sensitivity">
    <vt:lpwstr>OFFICIAL - Sensitive</vt:lpwstr>
  </property>
  <property fmtid="{D5CDD505-2E9C-101B-9397-08002B2CF9AE}" pid="11" name="ComplianceAssetId">
    <vt:lpwstr/>
  </property>
  <property fmtid="{D5CDD505-2E9C-101B-9397-08002B2CF9AE}" pid="12" name="DEDJTRSection">
    <vt:lpwstr/>
  </property>
  <property fmtid="{D5CDD505-2E9C-101B-9397-08002B2CF9AE}" pid="13" name="DEDJTRBranch">
    <vt:lpwstr/>
  </property>
  <property fmtid="{D5CDD505-2E9C-101B-9397-08002B2CF9AE}" pid="14" name="DEDJTRGroup">
    <vt:lpwstr/>
  </property>
  <property fmtid="{D5CDD505-2E9C-101B-9397-08002B2CF9AE}" pid="15" name="DEDJTRSecurityClassification">
    <vt:lpwstr/>
  </property>
  <property fmtid="{D5CDD505-2E9C-101B-9397-08002B2CF9AE}" pid="16" name="DEDJTRDivision">
    <vt:lpwstr/>
  </property>
</Properties>
</file>